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0" w:before="20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Pr>
        <w:drawing>
          <wp:inline distB="0" distT="0" distL="0" distR="0">
            <wp:extent cx="1610995" cy="209740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10995" cy="20974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 w:hanging="3"/>
        <w:jc w:val="center"/>
        <w:rPr>
          <w:rFonts w:ascii="Calibri" w:cs="Calibri" w:eastAsia="Calibri" w:hAnsi="Calibri"/>
          <w:i w:val="1"/>
          <w:color w:val="92d050"/>
          <w:sz w:val="24"/>
          <w:szCs w:val="24"/>
        </w:rPr>
      </w:pPr>
      <w:r w:rsidDel="00000000" w:rsidR="00000000" w:rsidRPr="00000000">
        <w:rPr>
          <w:rFonts w:ascii="Calibri" w:cs="Calibri" w:eastAsia="Calibri" w:hAnsi="Calibri"/>
          <w:i w:val="1"/>
          <w:color w:val="92d050"/>
          <w:sz w:val="32"/>
          <w:szCs w:val="32"/>
          <w:rtl w:val="0"/>
        </w:rPr>
        <w:t xml:space="preserve">Motivate, Develop, Inspire</w:t>
      </w:r>
      <w:r w:rsidDel="00000000" w:rsidR="00000000" w:rsidRPr="00000000">
        <w:rPr>
          <w:rFonts w:ascii="Calibri" w:cs="Calibri" w:eastAsia="Calibri" w:hAnsi="Calibri"/>
          <w:i w:val="1"/>
          <w:color w:val="92d050"/>
          <w:sz w:val="24"/>
          <w:szCs w:val="24"/>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60" w:before="240" w:lineRule="auto"/>
        <w:rPr>
          <w:rFonts w:ascii="Calibri" w:cs="Calibri" w:eastAsia="Calibri" w:hAnsi="Calibri"/>
          <w:i w:val="1"/>
          <w:color w:val="92d050"/>
          <w:sz w:val="24"/>
          <w:szCs w:val="24"/>
        </w:rPr>
      </w:pPr>
      <w:r w:rsidDel="00000000" w:rsidR="00000000" w:rsidRPr="00000000">
        <w:rPr>
          <w:rFonts w:ascii="Calibri" w:cs="Calibri" w:eastAsia="Calibri" w:hAnsi="Calibri"/>
          <w:i w:val="1"/>
          <w:color w:val="92d050"/>
          <w:sz w:val="24"/>
          <w:szCs w:val="24"/>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60" w:before="240" w:lineRule="auto"/>
        <w:rPr>
          <w:rFonts w:ascii="Calibri" w:cs="Calibri" w:eastAsia="Calibri" w:hAnsi="Calibri"/>
          <w:i w:val="1"/>
          <w:color w:val="92d05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240" w:lineRule="auto"/>
        <w:rPr>
          <w:rFonts w:ascii="Calibri" w:cs="Calibri" w:eastAsia="Calibri" w:hAnsi="Calibri"/>
          <w:i w:val="1"/>
          <w:color w:val="92d050"/>
          <w:sz w:val="24"/>
          <w:szCs w:val="24"/>
        </w:rPr>
      </w:pPr>
      <w:r w:rsidDel="00000000" w:rsidR="00000000" w:rsidRPr="00000000">
        <w:rPr>
          <w:rtl w:val="0"/>
        </w:rPr>
      </w:r>
    </w:p>
    <w:p w:rsidR="00000000" w:rsidDel="00000000" w:rsidP="00000000" w:rsidRDefault="00000000" w:rsidRPr="00000000" w14:paraId="00000006">
      <w:pPr>
        <w:spacing w:after="0" w:before="0" w:lineRule="auto"/>
        <w:rPr>
          <w:b w:val="1"/>
          <w:color w:val="000000"/>
          <w:sz w:val="28"/>
          <w:szCs w:val="28"/>
        </w:rPr>
      </w:pPr>
      <w:r w:rsidDel="00000000" w:rsidR="00000000" w:rsidRPr="00000000">
        <w:rPr>
          <w:rtl w:val="0"/>
        </w:rPr>
      </w:r>
    </w:p>
    <w:p w:rsidR="00000000" w:rsidDel="00000000" w:rsidP="00000000" w:rsidRDefault="00000000" w:rsidRPr="00000000" w14:paraId="00000007">
      <w:pPr>
        <w:spacing w:after="0" w:before="0" w:lineRule="auto"/>
        <w:jc w:val="center"/>
        <w:rPr>
          <w:b w:val="1"/>
          <w:color w:val="000000"/>
          <w:sz w:val="28"/>
          <w:szCs w:val="28"/>
        </w:rPr>
      </w:pPr>
      <w:r w:rsidDel="00000000" w:rsidR="00000000" w:rsidRPr="00000000">
        <w:rPr>
          <w:rtl w:val="0"/>
        </w:rPr>
      </w:r>
    </w:p>
    <w:p w:rsidR="00000000" w:rsidDel="00000000" w:rsidP="00000000" w:rsidRDefault="00000000" w:rsidRPr="00000000" w14:paraId="00000008">
      <w:pPr>
        <w:spacing w:after="0" w:before="0" w:lineRule="auto"/>
        <w:jc w:val="both"/>
        <w:rPr>
          <w:b w:val="1"/>
          <w:color w:val="000000"/>
          <w:sz w:val="28"/>
          <w:szCs w:val="28"/>
        </w:rPr>
      </w:pPr>
      <w:r w:rsidDel="00000000" w:rsidR="00000000" w:rsidRPr="00000000">
        <w:rPr>
          <w:rtl w:val="0"/>
        </w:rPr>
      </w:r>
    </w:p>
    <w:p w:rsidR="00000000" w:rsidDel="00000000" w:rsidP="00000000" w:rsidRDefault="00000000" w:rsidRPr="00000000" w14:paraId="00000009">
      <w:pPr>
        <w:spacing w:after="0" w:before="0" w:lineRule="auto"/>
        <w:jc w:val="both"/>
        <w:rPr>
          <w:b w:val="1"/>
          <w:color w:val="000000"/>
          <w:sz w:val="28"/>
          <w:szCs w:val="28"/>
        </w:rPr>
      </w:pPr>
      <w:r w:rsidDel="00000000" w:rsidR="00000000" w:rsidRPr="00000000">
        <w:rPr>
          <w:rtl w:val="0"/>
        </w:rPr>
      </w:r>
    </w:p>
    <w:p w:rsidR="00000000" w:rsidDel="00000000" w:rsidP="00000000" w:rsidRDefault="00000000" w:rsidRPr="00000000" w14:paraId="0000000A">
      <w:pPr>
        <w:spacing w:after="0" w:before="0" w:lineRule="auto"/>
        <w:jc w:val="both"/>
        <w:rPr>
          <w:b w:val="1"/>
          <w:color w:val="000000"/>
          <w:sz w:val="28"/>
          <w:szCs w:val="28"/>
        </w:rPr>
      </w:pPr>
      <w:r w:rsidDel="00000000" w:rsidR="00000000" w:rsidRPr="00000000">
        <w:rPr>
          <w:b w:val="1"/>
          <w:color w:val="000000"/>
          <w:sz w:val="28"/>
          <w:szCs w:val="28"/>
          <w:rtl w:val="0"/>
        </w:rPr>
        <w:t xml:space="preserve">Charging and Remissions Policy Statement</w:t>
      </w:r>
    </w:p>
    <w:p w:rsidR="00000000" w:rsidDel="00000000" w:rsidP="00000000" w:rsidRDefault="00000000" w:rsidRPr="00000000" w14:paraId="0000000B">
      <w:pPr>
        <w:keepNext w:val="1"/>
        <w:spacing w:after="0" w:before="0" w:lineRule="auto"/>
        <w:jc w:val="both"/>
        <w:rPr>
          <w:rFonts w:ascii="Calibri" w:cs="Calibri" w:eastAsia="Calibri" w:hAnsi="Calibri"/>
          <w:b w:val="1"/>
          <w:color w:val="000000"/>
          <w:sz w:val="23"/>
          <w:szCs w:val="23"/>
        </w:rPr>
      </w:pPr>
      <w:r w:rsidDel="00000000" w:rsidR="00000000" w:rsidRPr="00000000">
        <w:rPr>
          <w:rtl w:val="0"/>
        </w:rPr>
      </w:r>
    </w:p>
    <w:p w:rsidR="00000000" w:rsidDel="00000000" w:rsidP="00000000" w:rsidRDefault="00000000" w:rsidRPr="00000000" w14:paraId="0000000C">
      <w:pPr>
        <w:keepNext w:val="1"/>
        <w:spacing w:after="0" w:before="0" w:lineRule="auto"/>
        <w:jc w:val="both"/>
        <w:rPr>
          <w:rFonts w:ascii="Calibri" w:cs="Calibri" w:eastAsia="Calibri" w:hAnsi="Calibri"/>
          <w:b w:val="1"/>
          <w:color w:val="000000"/>
          <w:sz w:val="23"/>
          <w:szCs w:val="23"/>
        </w:rPr>
      </w:pPr>
      <w:r w:rsidDel="00000000" w:rsidR="00000000" w:rsidRPr="00000000">
        <w:rPr>
          <w:rtl w:val="0"/>
        </w:rPr>
      </w:r>
    </w:p>
    <w:p w:rsidR="00000000" w:rsidDel="00000000" w:rsidP="00000000" w:rsidRDefault="00000000" w:rsidRPr="00000000" w14:paraId="0000000D">
      <w:pPr>
        <w:keepNext w:val="1"/>
        <w:spacing w:after="0" w:before="0" w:lineRule="auto"/>
        <w:jc w:val="both"/>
        <w:rPr>
          <w:b w:val="1"/>
          <w:color w:val="000000"/>
          <w:sz w:val="23"/>
          <w:szCs w:val="23"/>
        </w:rPr>
      </w:pPr>
      <w:r w:rsidDel="00000000" w:rsidR="00000000" w:rsidRPr="00000000">
        <w:rPr>
          <w:b w:val="1"/>
          <w:color w:val="000000"/>
          <w:sz w:val="23"/>
          <w:szCs w:val="23"/>
          <w:rtl w:val="0"/>
        </w:rPr>
        <w:t xml:space="preserve">Rationale:</w:t>
      </w:r>
    </w:p>
    <w:p w:rsidR="00000000" w:rsidDel="00000000" w:rsidP="00000000" w:rsidRDefault="00000000" w:rsidRPr="00000000" w14:paraId="0000000E">
      <w:pPr>
        <w:spacing w:after="0" w:before="0" w:lineRule="auto"/>
        <w:jc w:val="both"/>
        <w:rPr>
          <w:color w:val="000000"/>
          <w:sz w:val="23"/>
          <w:szCs w:val="23"/>
        </w:rPr>
      </w:pPr>
      <w:r w:rsidDel="00000000" w:rsidR="00000000" w:rsidRPr="00000000">
        <w:rPr>
          <w:color w:val="000000"/>
          <w:sz w:val="23"/>
          <w:szCs w:val="23"/>
          <w:rtl w:val="0"/>
        </w:rPr>
        <w:t xml:space="preserve">The Board of Trustees of Victoria College recognises the valuable contribution that the wide range of additional activities can make towards students' education.</w:t>
      </w:r>
    </w:p>
    <w:p w:rsidR="00000000" w:rsidDel="00000000" w:rsidP="00000000" w:rsidRDefault="00000000" w:rsidRPr="00000000" w14:paraId="0000000F">
      <w:pPr>
        <w:spacing w:after="0" w:before="0" w:lineRule="auto"/>
        <w:jc w:val="both"/>
        <w:rPr>
          <w:color w:val="000000"/>
          <w:sz w:val="23"/>
          <w:szCs w:val="23"/>
        </w:rPr>
      </w:pPr>
      <w:r w:rsidDel="00000000" w:rsidR="00000000" w:rsidRPr="00000000">
        <w:rPr>
          <w:rtl w:val="0"/>
        </w:rPr>
      </w:r>
    </w:p>
    <w:p w:rsidR="00000000" w:rsidDel="00000000" w:rsidP="00000000" w:rsidRDefault="00000000" w:rsidRPr="00000000" w14:paraId="00000010">
      <w:pPr>
        <w:spacing w:after="0" w:before="0" w:lineRule="auto"/>
        <w:jc w:val="both"/>
        <w:rPr/>
      </w:pPr>
      <w:r w:rsidDel="00000000" w:rsidR="00000000" w:rsidRPr="00000000">
        <w:rPr>
          <w:color w:val="000000"/>
          <w:sz w:val="23"/>
          <w:szCs w:val="23"/>
          <w:rtl w:val="0"/>
        </w:rPr>
        <w:t xml:space="preserve">The Board of Trustees aims to promote and provide such activities both as part of a broad and balanced curriculum for the students.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Contents</w:t>
      </w:r>
    </w:p>
    <w:p w:rsidR="00000000" w:rsidDel="00000000" w:rsidP="00000000" w:rsidRDefault="00000000" w:rsidRPr="00000000" w14:paraId="0000001F">
      <w:pPr>
        <w:rPr>
          <w:b w:val="1"/>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color w:val="000000"/>
              <w:sz w:val="22"/>
              <w:szCs w:val="22"/>
              <w:rtl w:val="0"/>
            </w:rPr>
            <w:t xml:space="preserve">1. Aims</w:t>
            <w:tab/>
            <w:t xml:space="preserve">2</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2. Definitions</w:t>
            <w:tab/>
            <w:t xml:space="preserve">2</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3. Roles and responsibilities</w:t>
            <w:tab/>
            <w:t xml:space="preserve">2</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4. Where charges cannot be made</w:t>
            <w:tab/>
            <w:t xml:space="preserve">3</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5. Where charges can be made</w:t>
            <w:tab/>
            <w:t xml:space="preserve">3</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6. Voluntary contributions</w:t>
            <w:tab/>
            <w:t xml:space="preserve">4</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leader="none" w:pos="9338"/>
            </w:tabs>
            <w:rPr>
              <w:color w:val="000000"/>
              <w:sz w:val="22"/>
              <w:szCs w:val="22"/>
            </w:rPr>
          </w:pPr>
          <w:r w:rsidDel="00000000" w:rsidR="00000000" w:rsidRPr="00000000">
            <w:rPr>
              <w:color w:val="000000"/>
              <w:sz w:val="22"/>
              <w:szCs w:val="22"/>
              <w:rtl w:val="0"/>
            </w:rPr>
            <w:t xml:space="preserve">7. Activities this college charges for</w:t>
            <w:tab/>
            <w:t xml:space="preserve">4</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leader="none" w:pos="9338"/>
            </w:tabs>
            <w:rPr>
              <w:rFonts w:ascii="Calibri" w:cs="Calibri" w:eastAsia="Calibri" w:hAnsi="Calibri"/>
              <w:color w:val="000000"/>
              <w:sz w:val="22"/>
              <w:szCs w:val="22"/>
            </w:rPr>
          </w:pPr>
          <w:r w:rsidDel="00000000" w:rsidR="00000000" w:rsidRPr="00000000">
            <w:rPr>
              <w:color w:val="000000"/>
              <w:sz w:val="22"/>
              <w:szCs w:val="22"/>
              <w:rtl w:val="0"/>
            </w:rPr>
            <w:t xml:space="preserve">8. Monitoring arrangements</w:t>
            <w:tab/>
            <w:t xml:space="preserve">5</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jc w:val="right"/>
        <w:rPr/>
      </w:pPr>
      <w:r w:rsidDel="00000000" w:rsidR="00000000" w:rsidRPr="00000000">
        <w:rPr>
          <w:rtl w:val="0"/>
        </w:rPr>
      </w:r>
    </w:p>
    <w:p w:rsidR="00000000" w:rsidDel="00000000" w:rsidP="00000000" w:rsidRDefault="00000000" w:rsidRPr="00000000" w14:paraId="00000043">
      <w:pPr>
        <w:pStyle w:val="Heading1"/>
        <w:rPr/>
      </w:pPr>
      <w:bookmarkStart w:colFirst="0" w:colLast="0" w:name="_heading=h.gjdgxs" w:id="0"/>
      <w:bookmarkEnd w:id="0"/>
      <w:r w:rsidDel="00000000" w:rsidR="00000000" w:rsidRPr="00000000">
        <w:rPr>
          <w:rtl w:val="0"/>
        </w:rPr>
        <w:t xml:space="preserve">1. Aims</w:t>
      </w:r>
    </w:p>
    <w:p w:rsidR="00000000" w:rsidDel="00000000" w:rsidP="00000000" w:rsidRDefault="00000000" w:rsidRPr="00000000" w14:paraId="00000044">
      <w:pPr>
        <w:jc w:val="both"/>
        <w:rPr/>
      </w:pPr>
      <w:r w:rsidDel="00000000" w:rsidR="00000000" w:rsidRPr="00000000">
        <w:rPr>
          <w:rtl w:val="0"/>
        </w:rPr>
        <w:t xml:space="preserve">Our college aims to: </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14" w:right="0" w:hanging="357"/>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robust, clear processes in place for charging and remissions </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Clearly set out the types of activity that can be charged for and when charges will be made</w:t>
      </w:r>
    </w:p>
    <w:p w:rsidR="00000000" w:rsidDel="00000000" w:rsidP="00000000" w:rsidRDefault="00000000" w:rsidRPr="00000000" w14:paraId="00000047">
      <w:pPr>
        <w:pStyle w:val="Heading1"/>
        <w:rPr/>
      </w:pPr>
      <w:bookmarkStart w:colFirst="0" w:colLast="0" w:name="_heading=h.30j0zll" w:id="1"/>
      <w:bookmarkEnd w:id="1"/>
      <w:r w:rsidDel="00000000" w:rsidR="00000000" w:rsidRPr="00000000">
        <w:rPr>
          <w:rtl w:val="0"/>
        </w:rPr>
        <w:t xml:space="preserve">2. Definitions </w:t>
      </w:r>
    </w:p>
    <w:p w:rsidR="00000000" w:rsidDel="00000000" w:rsidP="00000000" w:rsidRDefault="00000000" w:rsidRPr="00000000" w14:paraId="00000048">
      <w:pPr>
        <w:numPr>
          <w:ilvl w:val="0"/>
          <w:numId w:val="4"/>
        </w:numPr>
        <w:ind w:left="720" w:hanging="360"/>
        <w:jc w:val="both"/>
        <w:rPr/>
      </w:pPr>
      <w:r w:rsidDel="00000000" w:rsidR="00000000" w:rsidRPr="00000000">
        <w:rPr>
          <w:rtl w:val="0"/>
        </w:rPr>
        <w:t xml:space="preserve">Charge: a </w:t>
      </w:r>
      <w:r w:rsidDel="00000000" w:rsidR="00000000" w:rsidRPr="00000000">
        <w:rPr>
          <w:color w:val="000000"/>
          <w:rtl w:val="0"/>
        </w:rPr>
        <w:t xml:space="preserve">fee payable for specifically defined activities</w:t>
      </w:r>
      <w:r w:rsidDel="00000000" w:rsidR="00000000" w:rsidRPr="00000000">
        <w:rPr>
          <w:rtl w:val="0"/>
        </w:rPr>
      </w:r>
    </w:p>
    <w:p w:rsidR="00000000" w:rsidDel="00000000" w:rsidP="00000000" w:rsidRDefault="00000000" w:rsidRPr="00000000" w14:paraId="00000049">
      <w:pPr>
        <w:numPr>
          <w:ilvl w:val="0"/>
          <w:numId w:val="4"/>
        </w:numPr>
        <w:ind w:left="720" w:hanging="360"/>
        <w:jc w:val="both"/>
        <w:rPr/>
      </w:pPr>
      <w:r w:rsidDel="00000000" w:rsidR="00000000" w:rsidRPr="00000000">
        <w:rPr>
          <w:color w:val="000000"/>
          <w:rtl w:val="0"/>
        </w:rPr>
        <w:t xml:space="preserve">Remission: the cancellation of a charge which would normally be payable</w:t>
      </w:r>
      <w:r w:rsidDel="00000000" w:rsidR="00000000" w:rsidRPr="00000000">
        <w:rPr>
          <w:rtl w:val="0"/>
        </w:rPr>
      </w:r>
    </w:p>
    <w:p w:rsidR="00000000" w:rsidDel="00000000" w:rsidP="00000000" w:rsidRDefault="00000000" w:rsidRPr="00000000" w14:paraId="0000004A">
      <w:pPr>
        <w:pStyle w:val="Heading1"/>
        <w:rPr/>
      </w:pPr>
      <w:bookmarkStart w:colFirst="0" w:colLast="0" w:name="_heading=h.1fob9te" w:id="2"/>
      <w:bookmarkEnd w:id="2"/>
      <w:r w:rsidDel="00000000" w:rsidR="00000000" w:rsidRPr="00000000">
        <w:rPr>
          <w:rtl w:val="0"/>
        </w:rPr>
        <w:t xml:space="preserve">3. Roles and responsibilities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sz w:val="22"/>
          <w:szCs w:val="22"/>
        </w:rPr>
      </w:pPr>
      <w:r w:rsidDel="00000000" w:rsidR="00000000" w:rsidRPr="00000000">
        <w:rPr>
          <w:b w:val="1"/>
          <w:sz w:val="22"/>
          <w:szCs w:val="22"/>
          <w:rtl w:val="0"/>
        </w:rPr>
        <w:t xml:space="preserve">3.1 The Board</w:t>
      </w: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The Board has overall responsibility for approving the charging and remissions policy, but can delegate this to a committee, an individual trustee or the Executive Head Teacher. </w:t>
      </w:r>
    </w:p>
    <w:p w:rsidR="00000000" w:rsidDel="00000000" w:rsidP="00000000" w:rsidRDefault="00000000" w:rsidRPr="00000000" w14:paraId="0000004E">
      <w:pPr>
        <w:jc w:val="both"/>
        <w:rPr/>
      </w:pPr>
      <w:r w:rsidDel="00000000" w:rsidR="00000000" w:rsidRPr="00000000">
        <w:rPr>
          <w:rtl w:val="0"/>
        </w:rPr>
        <w:t xml:space="preserve">The Board also has overall responsibility for monitoring the implementation of this policy.   </w:t>
      </w:r>
    </w:p>
    <w:p w:rsidR="00000000" w:rsidDel="00000000" w:rsidP="00000000" w:rsidRDefault="00000000" w:rsidRPr="00000000" w14:paraId="0000004F">
      <w:pPr>
        <w:jc w:val="both"/>
        <w:rPr/>
      </w:pPr>
      <w:r w:rsidDel="00000000" w:rsidR="00000000" w:rsidRPr="00000000">
        <w:rPr>
          <w:rtl w:val="0"/>
        </w:rPr>
        <w:t xml:space="preserve">In our College, responsibility for approving the charging and remissions policy has been delegated to the Board.</w:t>
      </w:r>
    </w:p>
    <w:p w:rsidR="00000000" w:rsidDel="00000000" w:rsidP="00000000" w:rsidRDefault="00000000" w:rsidRPr="00000000" w14:paraId="00000050">
      <w:pPr>
        <w:jc w:val="both"/>
        <w:rPr/>
      </w:pPr>
      <w:r w:rsidDel="00000000" w:rsidR="00000000" w:rsidRPr="00000000">
        <w:rPr>
          <w:rtl w:val="0"/>
        </w:rPr>
        <w:t xml:space="preserve">In our College, monitoring the implementation of this policy has been delegated to the Board.</w:t>
      </w:r>
    </w:p>
    <w:p w:rsidR="00000000" w:rsidDel="00000000" w:rsidP="00000000" w:rsidRDefault="00000000" w:rsidRPr="00000000" w14:paraId="00000051">
      <w:pPr>
        <w:jc w:val="both"/>
        <w:rPr>
          <w:b w:val="1"/>
          <w:sz w:val="22"/>
          <w:szCs w:val="22"/>
        </w:rPr>
      </w:pPr>
      <w:r w:rsidDel="00000000" w:rsidR="00000000" w:rsidRPr="00000000">
        <w:rPr>
          <w:rtl w:val="0"/>
        </w:rPr>
      </w:r>
    </w:p>
    <w:p w:rsidR="00000000" w:rsidDel="00000000" w:rsidP="00000000" w:rsidRDefault="00000000" w:rsidRPr="00000000" w14:paraId="00000052">
      <w:pPr>
        <w:jc w:val="both"/>
        <w:rPr>
          <w:sz w:val="22"/>
          <w:szCs w:val="22"/>
        </w:rPr>
      </w:pPr>
      <w:r w:rsidDel="00000000" w:rsidR="00000000" w:rsidRPr="00000000">
        <w:rPr>
          <w:b w:val="1"/>
          <w:sz w:val="22"/>
          <w:szCs w:val="22"/>
          <w:rtl w:val="0"/>
        </w:rPr>
        <w:t xml:space="preserve">3.2 The Head of College</w:t>
      </w: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The Head of College is responsible for ensuring staff are familiar with the charging and remissions policy, and that it is being applied consistently. </w:t>
      </w:r>
    </w:p>
    <w:p w:rsidR="00000000" w:rsidDel="00000000" w:rsidP="00000000" w:rsidRDefault="00000000" w:rsidRPr="00000000" w14:paraId="00000054">
      <w:pPr>
        <w:jc w:val="both"/>
        <w:rPr>
          <w:b w:val="1"/>
          <w:sz w:val="22"/>
          <w:szCs w:val="22"/>
        </w:rPr>
      </w:pPr>
      <w:r w:rsidDel="00000000" w:rsidR="00000000" w:rsidRPr="00000000">
        <w:rPr>
          <w:rtl w:val="0"/>
        </w:rPr>
      </w:r>
    </w:p>
    <w:p w:rsidR="00000000" w:rsidDel="00000000" w:rsidP="00000000" w:rsidRDefault="00000000" w:rsidRPr="00000000" w14:paraId="00000055">
      <w:pPr>
        <w:jc w:val="both"/>
        <w:rPr>
          <w:sz w:val="22"/>
          <w:szCs w:val="22"/>
        </w:rPr>
      </w:pPr>
      <w:r w:rsidDel="00000000" w:rsidR="00000000" w:rsidRPr="00000000">
        <w:rPr>
          <w:b w:val="1"/>
          <w:sz w:val="22"/>
          <w:szCs w:val="22"/>
          <w:rtl w:val="0"/>
        </w:rPr>
        <w:t xml:space="preserve">3.3 Staff</w:t>
      </w: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Our staff are responsible for: </w:t>
      </w:r>
    </w:p>
    <w:p w:rsidR="00000000" w:rsidDel="00000000" w:rsidP="00000000" w:rsidRDefault="00000000" w:rsidRPr="00000000" w14:paraId="00000057">
      <w:pPr>
        <w:numPr>
          <w:ilvl w:val="0"/>
          <w:numId w:val="3"/>
        </w:numPr>
        <w:ind w:left="567" w:hanging="283"/>
        <w:jc w:val="both"/>
        <w:rPr/>
      </w:pPr>
      <w:r w:rsidDel="00000000" w:rsidR="00000000" w:rsidRPr="00000000">
        <w:rPr>
          <w:rtl w:val="0"/>
        </w:rPr>
        <w:t xml:space="preserve">Implementing the charging and remissions policy consistently </w:t>
      </w:r>
    </w:p>
    <w:p w:rsidR="00000000" w:rsidDel="00000000" w:rsidP="00000000" w:rsidRDefault="00000000" w:rsidRPr="00000000" w14:paraId="00000058">
      <w:pPr>
        <w:numPr>
          <w:ilvl w:val="0"/>
          <w:numId w:val="3"/>
        </w:numPr>
        <w:ind w:left="567" w:hanging="283"/>
        <w:jc w:val="both"/>
        <w:rPr/>
      </w:pPr>
      <w:r w:rsidDel="00000000" w:rsidR="00000000" w:rsidRPr="00000000">
        <w:rPr>
          <w:rtl w:val="0"/>
        </w:rPr>
        <w:t xml:space="preserve">Notifying the Head of College of any specific circumstances which they are unsure about or where they are not certain if the policy applies</w:t>
      </w:r>
    </w:p>
    <w:p w:rsidR="00000000" w:rsidDel="00000000" w:rsidP="00000000" w:rsidRDefault="00000000" w:rsidRPr="00000000" w14:paraId="00000059">
      <w:pPr>
        <w:jc w:val="both"/>
        <w:rPr/>
      </w:pPr>
      <w:r w:rsidDel="00000000" w:rsidR="00000000" w:rsidRPr="00000000">
        <w:rPr>
          <w:rtl w:val="0"/>
        </w:rPr>
        <w:t xml:space="preserve">The senior leadership team will provide staff with appropriate training in relation to this policy and its implementation.</w:t>
      </w:r>
    </w:p>
    <w:p w:rsidR="00000000" w:rsidDel="00000000" w:rsidP="00000000" w:rsidRDefault="00000000" w:rsidRPr="00000000" w14:paraId="0000005A">
      <w:pPr>
        <w:ind w:left="360" w:hanging="360"/>
        <w:jc w:val="both"/>
        <w:rPr>
          <w:b w:val="1"/>
          <w:sz w:val="22"/>
          <w:szCs w:val="22"/>
        </w:rPr>
      </w:pPr>
      <w:r w:rsidDel="00000000" w:rsidR="00000000" w:rsidRPr="00000000">
        <w:rPr>
          <w:rtl w:val="0"/>
        </w:rPr>
      </w:r>
    </w:p>
    <w:p w:rsidR="00000000" w:rsidDel="00000000" w:rsidP="00000000" w:rsidRDefault="00000000" w:rsidRPr="00000000" w14:paraId="0000005B">
      <w:pPr>
        <w:ind w:left="360" w:hanging="360"/>
        <w:jc w:val="both"/>
        <w:rPr>
          <w:sz w:val="22"/>
          <w:szCs w:val="22"/>
        </w:rPr>
      </w:pPr>
      <w:r w:rsidDel="00000000" w:rsidR="00000000" w:rsidRPr="00000000">
        <w:rPr>
          <w:b w:val="1"/>
          <w:sz w:val="22"/>
          <w:szCs w:val="22"/>
          <w:rtl w:val="0"/>
        </w:rPr>
        <w:t xml:space="preserve">3.4</w:t>
      </w:r>
      <w:r w:rsidDel="00000000" w:rsidR="00000000" w:rsidRPr="00000000">
        <w:rPr>
          <w:sz w:val="16"/>
          <w:szCs w:val="16"/>
          <w:rtl w:val="0"/>
        </w:rPr>
        <w:t xml:space="preserve">   </w:t>
      </w:r>
      <w:r w:rsidDel="00000000" w:rsidR="00000000" w:rsidRPr="00000000">
        <w:rPr>
          <w:b w:val="1"/>
          <w:sz w:val="22"/>
          <w:szCs w:val="22"/>
          <w:rtl w:val="0"/>
        </w:rPr>
        <w:t xml:space="preserve">Parents </w:t>
      </w: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Parents are expected to notify staff or the Head of College of any concerns or queries regarding the charging and remissions policy.</w:t>
      </w:r>
    </w:p>
    <w:p w:rsidR="00000000" w:rsidDel="00000000" w:rsidP="00000000" w:rsidRDefault="00000000" w:rsidRPr="00000000" w14:paraId="0000005D">
      <w:pPr>
        <w:pStyle w:val="Heading1"/>
        <w:rPr/>
      </w:pPr>
      <w:bookmarkStart w:colFirst="0" w:colLast="0" w:name="_heading=h.3znysh7" w:id="3"/>
      <w:bookmarkEnd w:id="3"/>
      <w:r w:rsidDel="00000000" w:rsidR="00000000" w:rsidRPr="00000000">
        <w:rPr>
          <w:rtl w:val="0"/>
        </w:rPr>
        <w:t xml:space="preserve">4. Where charges cannot be made</w:t>
        <w:tab/>
      </w:r>
    </w:p>
    <w:p w:rsidR="00000000" w:rsidDel="00000000" w:rsidP="00000000" w:rsidRDefault="00000000" w:rsidRPr="00000000" w14:paraId="0000005E">
      <w:pPr>
        <w:jc w:val="both"/>
        <w:rPr/>
      </w:pPr>
      <w:r w:rsidDel="00000000" w:rsidR="00000000" w:rsidRPr="00000000">
        <w:rPr>
          <w:rtl w:val="0"/>
        </w:rPr>
        <w:t xml:space="preserve">Below we set out </w:t>
      </w:r>
      <w:r w:rsidDel="00000000" w:rsidR="00000000" w:rsidRPr="00000000">
        <w:rPr>
          <w:b w:val="1"/>
          <w:rtl w:val="0"/>
        </w:rPr>
        <w:t xml:space="preserve">what the college cannot charge for</w:t>
      </w:r>
      <w:r w:rsidDel="00000000" w:rsidR="00000000" w:rsidRPr="00000000">
        <w:rPr>
          <w:rtl w:val="0"/>
        </w:rPr>
        <w:t xml:space="preserve">: </w:t>
      </w:r>
    </w:p>
    <w:p w:rsidR="00000000" w:rsidDel="00000000" w:rsidP="00000000" w:rsidRDefault="00000000" w:rsidRPr="00000000" w14:paraId="0000005F">
      <w:pPr>
        <w:jc w:val="both"/>
        <w:rPr>
          <w:b w:val="1"/>
          <w:sz w:val="22"/>
          <w:szCs w:val="22"/>
        </w:rPr>
      </w:pPr>
      <w:r w:rsidDel="00000000" w:rsidR="00000000" w:rsidRPr="00000000">
        <w:rPr>
          <w:rtl w:val="0"/>
        </w:rPr>
      </w:r>
    </w:p>
    <w:p w:rsidR="00000000" w:rsidDel="00000000" w:rsidP="00000000" w:rsidRDefault="00000000" w:rsidRPr="00000000" w14:paraId="00000060">
      <w:pPr>
        <w:jc w:val="both"/>
        <w:rPr>
          <w:sz w:val="22"/>
          <w:szCs w:val="22"/>
        </w:rPr>
      </w:pPr>
      <w:r w:rsidDel="00000000" w:rsidR="00000000" w:rsidRPr="00000000">
        <w:rPr>
          <w:b w:val="1"/>
          <w:sz w:val="22"/>
          <w:szCs w:val="22"/>
          <w:rtl w:val="0"/>
        </w:rPr>
        <w:t xml:space="preserve">4.1 Education</w:t>
      </w:r>
      <w:r w:rsidDel="00000000" w:rsidR="00000000" w:rsidRPr="00000000">
        <w:rPr>
          <w:rtl w:val="0"/>
        </w:rPr>
      </w:r>
    </w:p>
    <w:p w:rsidR="00000000" w:rsidDel="00000000" w:rsidP="00000000" w:rsidRDefault="00000000" w:rsidRPr="00000000" w14:paraId="00000061">
      <w:pPr>
        <w:numPr>
          <w:ilvl w:val="0"/>
          <w:numId w:val="3"/>
        </w:numPr>
        <w:ind w:left="567" w:hanging="283"/>
        <w:jc w:val="both"/>
        <w:rPr/>
      </w:pPr>
      <w:r w:rsidDel="00000000" w:rsidR="00000000" w:rsidRPr="00000000">
        <w:rPr>
          <w:rtl w:val="0"/>
        </w:rPr>
        <w:t xml:space="preserve">Admission applications</w:t>
      </w:r>
    </w:p>
    <w:p w:rsidR="00000000" w:rsidDel="00000000" w:rsidP="00000000" w:rsidRDefault="00000000" w:rsidRPr="00000000" w14:paraId="00000062">
      <w:pPr>
        <w:numPr>
          <w:ilvl w:val="0"/>
          <w:numId w:val="3"/>
        </w:numPr>
        <w:ind w:left="567" w:hanging="283"/>
        <w:jc w:val="both"/>
        <w:rPr/>
      </w:pPr>
      <w:r w:rsidDel="00000000" w:rsidR="00000000" w:rsidRPr="00000000">
        <w:rPr>
          <w:rtl w:val="0"/>
        </w:rPr>
        <w:t xml:space="preserve">Education provided during College hours (including the supply of any materials, books, instruments or other equipment) </w:t>
      </w:r>
    </w:p>
    <w:p w:rsidR="00000000" w:rsidDel="00000000" w:rsidP="00000000" w:rsidRDefault="00000000" w:rsidRPr="00000000" w14:paraId="00000063">
      <w:pPr>
        <w:pStyle w:val="Heading1"/>
        <w:rPr/>
      </w:pPr>
      <w:bookmarkStart w:colFirst="0" w:colLast="0" w:name="_heading=h.2et92p0" w:id="4"/>
      <w:bookmarkEnd w:id="4"/>
      <w:r w:rsidDel="00000000" w:rsidR="00000000" w:rsidRPr="00000000">
        <w:rPr>
          <w:rtl w:val="0"/>
        </w:rPr>
        <w:t xml:space="preserve">5. Where charges can be made</w:t>
      </w:r>
    </w:p>
    <w:p w:rsidR="00000000" w:rsidDel="00000000" w:rsidP="00000000" w:rsidRDefault="00000000" w:rsidRPr="00000000" w14:paraId="00000064">
      <w:pPr>
        <w:jc w:val="both"/>
        <w:rPr/>
      </w:pPr>
      <w:r w:rsidDel="00000000" w:rsidR="00000000" w:rsidRPr="00000000">
        <w:rPr>
          <w:rtl w:val="0"/>
        </w:rPr>
        <w:t xml:space="preserve">Below we set out </w:t>
      </w:r>
      <w:r w:rsidDel="00000000" w:rsidR="00000000" w:rsidRPr="00000000">
        <w:rPr>
          <w:b w:val="1"/>
          <w:rtl w:val="0"/>
        </w:rPr>
        <w:t xml:space="preserve">what the college can charge for</w:t>
      </w:r>
      <w:r w:rsidDel="00000000" w:rsidR="00000000" w:rsidRPr="00000000">
        <w:rPr>
          <w:rtl w:val="0"/>
        </w:rPr>
        <w:t xml:space="preserve">. </w:t>
      </w:r>
    </w:p>
    <w:p w:rsidR="00000000" w:rsidDel="00000000" w:rsidP="00000000" w:rsidRDefault="00000000" w:rsidRPr="00000000" w14:paraId="00000065">
      <w:pPr>
        <w:ind w:left="360" w:hanging="360"/>
        <w:jc w:val="both"/>
        <w:rPr>
          <w:b w:val="1"/>
          <w:sz w:val="22"/>
          <w:szCs w:val="22"/>
        </w:rPr>
      </w:pPr>
      <w:r w:rsidDel="00000000" w:rsidR="00000000" w:rsidRPr="00000000">
        <w:rPr>
          <w:rtl w:val="0"/>
        </w:rPr>
      </w:r>
    </w:p>
    <w:p w:rsidR="00000000" w:rsidDel="00000000" w:rsidP="00000000" w:rsidRDefault="00000000" w:rsidRPr="00000000" w14:paraId="00000066">
      <w:pPr>
        <w:ind w:left="360" w:hanging="360"/>
        <w:jc w:val="both"/>
        <w:rPr>
          <w:sz w:val="22"/>
          <w:szCs w:val="22"/>
        </w:rPr>
      </w:pPr>
      <w:r w:rsidDel="00000000" w:rsidR="00000000" w:rsidRPr="00000000">
        <w:rPr>
          <w:b w:val="1"/>
          <w:sz w:val="22"/>
          <w:szCs w:val="22"/>
          <w:rtl w:val="0"/>
        </w:rPr>
        <w:t xml:space="preserve">5.1</w:t>
      </w:r>
      <w:r w:rsidDel="00000000" w:rsidR="00000000" w:rsidRPr="00000000">
        <w:rPr>
          <w:sz w:val="16"/>
          <w:szCs w:val="16"/>
          <w:rtl w:val="0"/>
        </w:rPr>
        <w:t xml:space="preserve">   </w:t>
      </w:r>
      <w:r w:rsidDel="00000000" w:rsidR="00000000" w:rsidRPr="00000000">
        <w:rPr>
          <w:b w:val="1"/>
          <w:sz w:val="22"/>
          <w:szCs w:val="22"/>
          <w:rtl w:val="0"/>
        </w:rPr>
        <w:t xml:space="preserve">Education</w:t>
      </w:r>
      <w:r w:rsidDel="00000000" w:rsidR="00000000" w:rsidRPr="00000000">
        <w:rPr>
          <w:rtl w:val="0"/>
        </w:rPr>
      </w:r>
    </w:p>
    <w:p w:rsidR="00000000" w:rsidDel="00000000" w:rsidP="00000000" w:rsidRDefault="00000000" w:rsidRPr="00000000" w14:paraId="00000067">
      <w:pPr>
        <w:numPr>
          <w:ilvl w:val="0"/>
          <w:numId w:val="3"/>
        </w:numPr>
        <w:ind w:left="567" w:hanging="283"/>
        <w:jc w:val="both"/>
        <w:rPr/>
      </w:pPr>
      <w:r w:rsidDel="00000000" w:rsidR="00000000" w:rsidRPr="00000000">
        <w:rPr>
          <w:rtl w:val="0"/>
        </w:rPr>
        <w:t xml:space="preserve">Any resources where the student’s parent wishes him or her to own them</w:t>
      </w:r>
    </w:p>
    <w:p w:rsidR="00000000" w:rsidDel="00000000" w:rsidP="00000000" w:rsidRDefault="00000000" w:rsidRPr="00000000" w14:paraId="00000068">
      <w:pPr>
        <w:numPr>
          <w:ilvl w:val="0"/>
          <w:numId w:val="3"/>
        </w:numPr>
        <w:ind w:left="567" w:hanging="283"/>
        <w:jc w:val="both"/>
        <w:rPr/>
      </w:pPr>
      <w:r w:rsidDel="00000000" w:rsidR="00000000" w:rsidRPr="00000000">
        <w:rPr>
          <w:rtl w:val="0"/>
        </w:rPr>
        <w:t xml:space="preserve">Optional extras (see below)</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b w:val="1"/>
          <w:sz w:val="22"/>
          <w:szCs w:val="22"/>
        </w:rPr>
      </w:pPr>
      <w:r w:rsidDel="00000000" w:rsidR="00000000" w:rsidRPr="00000000">
        <w:rPr>
          <w:b w:val="1"/>
          <w:sz w:val="22"/>
          <w:szCs w:val="22"/>
          <w:rtl w:val="0"/>
        </w:rPr>
        <w:t xml:space="preserve">5.2 Transport</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Charges are made for transport to and from College for students that take up this option.</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before="0" w:lineRule="auto"/>
        <w:ind w:left="720" w:hanging="360"/>
        <w:jc w:val="both"/>
        <w:rPr>
          <w:color w:val="000000"/>
        </w:rPr>
      </w:pPr>
      <w:r w:rsidDel="00000000" w:rsidR="00000000" w:rsidRPr="00000000">
        <w:rPr>
          <w:color w:val="000000"/>
          <w:rtl w:val="0"/>
        </w:rPr>
        <w:t xml:space="preserve">Charge for transport for Community Visits over the year.</w:t>
      </w:r>
    </w:p>
    <w:p w:rsidR="00000000" w:rsidDel="00000000" w:rsidP="00000000" w:rsidRDefault="00000000" w:rsidRPr="00000000" w14:paraId="0000006D">
      <w:pPr>
        <w:ind w:left="360" w:hanging="360"/>
        <w:jc w:val="both"/>
        <w:rPr>
          <w:b w:val="1"/>
          <w:sz w:val="22"/>
          <w:szCs w:val="22"/>
        </w:rPr>
      </w:pPr>
      <w:r w:rsidDel="00000000" w:rsidR="00000000" w:rsidRPr="00000000">
        <w:rPr>
          <w:rtl w:val="0"/>
        </w:rPr>
      </w:r>
    </w:p>
    <w:p w:rsidR="00000000" w:rsidDel="00000000" w:rsidP="00000000" w:rsidRDefault="00000000" w:rsidRPr="00000000" w14:paraId="0000006E">
      <w:pPr>
        <w:ind w:left="360" w:hanging="360"/>
        <w:jc w:val="both"/>
        <w:rPr>
          <w:sz w:val="22"/>
          <w:szCs w:val="22"/>
        </w:rPr>
      </w:pPr>
      <w:r w:rsidDel="00000000" w:rsidR="00000000" w:rsidRPr="00000000">
        <w:rPr>
          <w:b w:val="1"/>
          <w:sz w:val="22"/>
          <w:szCs w:val="22"/>
          <w:rtl w:val="0"/>
        </w:rPr>
        <w:t xml:space="preserve">5.3</w:t>
      </w:r>
      <w:r w:rsidDel="00000000" w:rsidR="00000000" w:rsidRPr="00000000">
        <w:rPr>
          <w:sz w:val="16"/>
          <w:szCs w:val="16"/>
          <w:rtl w:val="0"/>
        </w:rPr>
        <w:t xml:space="preserve">   </w:t>
      </w:r>
      <w:r w:rsidDel="00000000" w:rsidR="00000000" w:rsidRPr="00000000">
        <w:rPr>
          <w:b w:val="1"/>
          <w:sz w:val="22"/>
          <w:szCs w:val="22"/>
          <w:rtl w:val="0"/>
        </w:rPr>
        <w:t xml:space="preserve">Optional extras</w:t>
      </w: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We are able to charge for activities known as ‘optional extras’. In these cases, the college can charge for providing materials, books, instruments or equipment. The following are optional extras:</w:t>
      </w:r>
    </w:p>
    <w:p w:rsidR="00000000" w:rsidDel="00000000" w:rsidP="00000000" w:rsidRDefault="00000000" w:rsidRPr="00000000" w14:paraId="00000070">
      <w:pPr>
        <w:numPr>
          <w:ilvl w:val="0"/>
          <w:numId w:val="3"/>
        </w:numPr>
        <w:ind w:left="567" w:hanging="283"/>
        <w:jc w:val="both"/>
        <w:rPr/>
      </w:pPr>
      <w:r w:rsidDel="00000000" w:rsidR="00000000" w:rsidRPr="00000000">
        <w:rPr>
          <w:rtl w:val="0"/>
        </w:rPr>
        <w:t xml:space="preserve">Education provided outside of college time that is not part of:</w:t>
      </w:r>
    </w:p>
    <w:p w:rsidR="00000000" w:rsidDel="00000000" w:rsidP="00000000" w:rsidRDefault="00000000" w:rsidRPr="00000000" w14:paraId="00000071">
      <w:pPr>
        <w:numPr>
          <w:ilvl w:val="1"/>
          <w:numId w:val="3"/>
        </w:numPr>
        <w:pBdr>
          <w:left w:color="000000" w:space="7" w:sz="0" w:val="none"/>
        </w:pBdr>
        <w:spacing w:after="0" w:before="0" w:lineRule="auto"/>
        <w:ind w:left="1364" w:hanging="360"/>
        <w:jc w:val="both"/>
        <w:rPr/>
      </w:pPr>
      <w:r w:rsidDel="00000000" w:rsidR="00000000" w:rsidRPr="00000000">
        <w:rPr>
          <w:rtl w:val="0"/>
        </w:rPr>
        <w:t xml:space="preserve">The curriculum</w:t>
      </w:r>
    </w:p>
    <w:p w:rsidR="00000000" w:rsidDel="00000000" w:rsidP="00000000" w:rsidRDefault="00000000" w:rsidRPr="00000000" w14:paraId="00000072">
      <w:pPr>
        <w:pBdr>
          <w:left w:color="000000" w:space="7" w:sz="0" w:val="none"/>
        </w:pBdr>
        <w:spacing w:after="0" w:before="0" w:lineRule="auto"/>
        <w:ind w:left="1364" w:firstLine="0"/>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When calculating the cost of optional extras, an amount may be included in relation to: </w:t>
      </w:r>
    </w:p>
    <w:p w:rsidR="00000000" w:rsidDel="00000000" w:rsidP="00000000" w:rsidRDefault="00000000" w:rsidRPr="00000000" w14:paraId="00000074">
      <w:pPr>
        <w:numPr>
          <w:ilvl w:val="0"/>
          <w:numId w:val="3"/>
        </w:numPr>
        <w:ind w:left="567" w:hanging="283"/>
        <w:jc w:val="both"/>
        <w:rPr/>
      </w:pPr>
      <w:r w:rsidDel="00000000" w:rsidR="00000000" w:rsidRPr="00000000">
        <w:rPr>
          <w:rtl w:val="0"/>
        </w:rPr>
        <w:t xml:space="preserve">Any materials, books, instruments or equipment provided in connection with the optional extra</w:t>
      </w:r>
    </w:p>
    <w:p w:rsidR="00000000" w:rsidDel="00000000" w:rsidP="00000000" w:rsidRDefault="00000000" w:rsidRPr="00000000" w14:paraId="00000075">
      <w:pPr>
        <w:numPr>
          <w:ilvl w:val="0"/>
          <w:numId w:val="3"/>
        </w:numPr>
        <w:ind w:left="567" w:hanging="283"/>
        <w:jc w:val="both"/>
        <w:rPr/>
      </w:pPr>
      <w:r w:rsidDel="00000000" w:rsidR="00000000" w:rsidRPr="00000000">
        <w:rPr>
          <w:rtl w:val="0"/>
        </w:rPr>
        <w:t xml:space="preserve">The cost of buildings and accommodation</w:t>
      </w:r>
    </w:p>
    <w:p w:rsidR="00000000" w:rsidDel="00000000" w:rsidP="00000000" w:rsidRDefault="00000000" w:rsidRPr="00000000" w14:paraId="00000076">
      <w:pPr>
        <w:numPr>
          <w:ilvl w:val="0"/>
          <w:numId w:val="3"/>
        </w:numPr>
        <w:ind w:left="567" w:hanging="283"/>
        <w:jc w:val="both"/>
        <w:rPr/>
      </w:pPr>
      <w:r w:rsidDel="00000000" w:rsidR="00000000" w:rsidRPr="00000000">
        <w:rPr>
          <w:rtl w:val="0"/>
        </w:rPr>
        <w:t xml:space="preserve">Non-teaching staff</w:t>
      </w:r>
    </w:p>
    <w:p w:rsidR="00000000" w:rsidDel="00000000" w:rsidP="00000000" w:rsidRDefault="00000000" w:rsidRPr="00000000" w14:paraId="00000077">
      <w:pPr>
        <w:numPr>
          <w:ilvl w:val="0"/>
          <w:numId w:val="3"/>
        </w:numPr>
        <w:ind w:left="567" w:hanging="283"/>
        <w:jc w:val="both"/>
        <w:rPr/>
      </w:pPr>
      <w:r w:rsidDel="00000000" w:rsidR="00000000" w:rsidRPr="00000000">
        <w:rPr>
          <w:rtl w:val="0"/>
        </w:rPr>
        <w:t xml:space="preserve">Teaching staff engaged under contracts for services purely to provide an optional extra (including supply teachers engaged specifically to provide the optional extra)</w:t>
      </w:r>
    </w:p>
    <w:p w:rsidR="00000000" w:rsidDel="00000000" w:rsidP="00000000" w:rsidRDefault="00000000" w:rsidRPr="00000000" w14:paraId="00000078">
      <w:pPr>
        <w:jc w:val="both"/>
        <w:rPr/>
      </w:pPr>
      <w:r w:rsidDel="00000000" w:rsidR="00000000" w:rsidRPr="00000000">
        <w:rPr>
          <w:rtl w:val="0"/>
        </w:rPr>
        <w:t xml:space="preserve">Any charge made in respect of individual students will not be greater than the actual cost of providing the optional extra activity, divided equally by the number of students participating. </w:t>
      </w:r>
    </w:p>
    <w:p w:rsidR="00000000" w:rsidDel="00000000" w:rsidP="00000000" w:rsidRDefault="00000000" w:rsidRPr="00000000" w14:paraId="00000079">
      <w:pPr>
        <w:jc w:val="both"/>
        <w:rPr/>
      </w:pPr>
      <w:r w:rsidDel="00000000" w:rsidR="00000000" w:rsidRPr="00000000">
        <w:rPr>
          <w:rtl w:val="0"/>
        </w:rPr>
        <w:t xml:space="preserve">Any charge will not include an element of subsidy for any other students who wish to take part in the activity but whose parents are unwilling or unable to pay the full charge. </w:t>
      </w:r>
    </w:p>
    <w:p w:rsidR="00000000" w:rsidDel="00000000" w:rsidP="00000000" w:rsidRDefault="00000000" w:rsidRPr="00000000" w14:paraId="0000007A">
      <w:pPr>
        <w:jc w:val="both"/>
        <w:rPr/>
      </w:pPr>
      <w:r w:rsidDel="00000000" w:rsidR="00000000" w:rsidRPr="00000000">
        <w:rPr>
          <w:rtl w:val="0"/>
        </w:rPr>
        <w:t xml:space="preserve">Parental agreement is necessary for the provision of an optional extra which is to be charged for. </w:t>
      </w:r>
    </w:p>
    <w:p w:rsidR="00000000" w:rsidDel="00000000" w:rsidP="00000000" w:rsidRDefault="00000000" w:rsidRPr="00000000" w14:paraId="0000007B">
      <w:pPr>
        <w:jc w:val="both"/>
        <w:rPr>
          <w:b w:val="1"/>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C">
      <w:pPr>
        <w:pStyle w:val="Heading1"/>
        <w:rPr/>
      </w:pPr>
      <w:bookmarkStart w:colFirst="0" w:colLast="0" w:name="_heading=h.tyjcwt" w:id="5"/>
      <w:bookmarkEnd w:id="5"/>
      <w:r w:rsidDel="00000000" w:rsidR="00000000" w:rsidRPr="00000000">
        <w:rPr>
          <w:rtl w:val="0"/>
        </w:rPr>
        <w:t xml:space="preserve">6. Voluntary contributions</w:t>
      </w:r>
    </w:p>
    <w:p w:rsidR="00000000" w:rsidDel="00000000" w:rsidP="00000000" w:rsidRDefault="00000000" w:rsidRPr="00000000" w14:paraId="0000007D">
      <w:pPr>
        <w:jc w:val="both"/>
        <w:rPr/>
      </w:pPr>
      <w:r w:rsidDel="00000000" w:rsidR="00000000" w:rsidRPr="00000000">
        <w:rPr>
          <w:rtl w:val="0"/>
        </w:rPr>
        <w:t xml:space="preserve">As an exception to the requirements set out in section 5 of this policy, the college is able to ask for voluntary contributions from parents to fund activities during college hours which would not otherwise be possible. </w:t>
      </w:r>
    </w:p>
    <w:p w:rsidR="00000000" w:rsidDel="00000000" w:rsidP="00000000" w:rsidRDefault="00000000" w:rsidRPr="00000000" w14:paraId="0000007E">
      <w:pPr>
        <w:jc w:val="both"/>
        <w:rPr/>
      </w:pPr>
      <w:r w:rsidDel="00000000" w:rsidR="00000000" w:rsidRPr="00000000">
        <w:rPr>
          <w:rtl w:val="0"/>
        </w:rPr>
        <w:t xml:space="preserve">Activities for which the college may ask parents for voluntary contributions include community visits and additional curriculum enriching activities.</w:t>
      </w:r>
    </w:p>
    <w:p w:rsidR="00000000" w:rsidDel="00000000" w:rsidP="00000000" w:rsidRDefault="00000000" w:rsidRPr="00000000" w14:paraId="0000007F">
      <w:pPr>
        <w:jc w:val="both"/>
        <w:rPr/>
      </w:pPr>
      <w:r w:rsidDel="00000000" w:rsidR="00000000" w:rsidRPr="00000000">
        <w:rPr>
          <w:b w:val="1"/>
          <w:rtl w:val="0"/>
        </w:rPr>
        <w:t xml:space="preserve">There is no obligation for parents to make any contribution, and no young person will be excluded from an activity if their parents are unwilling or unable to pay</w:t>
      </w:r>
      <w:r w:rsidDel="00000000" w:rsidR="00000000" w:rsidRPr="00000000">
        <w:rPr>
          <w:rtl w:val="0"/>
        </w:rPr>
        <w:t xml:space="preserve">. If the college is unable to raise enough funds for an activity or visit then it may be canceled. </w:t>
      </w:r>
    </w:p>
    <w:p w:rsidR="00000000" w:rsidDel="00000000" w:rsidP="00000000" w:rsidRDefault="00000000" w:rsidRPr="00000000" w14:paraId="00000080">
      <w:pPr>
        <w:pStyle w:val="Heading1"/>
        <w:rPr/>
      </w:pPr>
      <w:bookmarkStart w:colFirst="0" w:colLast="0" w:name="_heading=h.3dy6vkm" w:id="6"/>
      <w:bookmarkEnd w:id="6"/>
      <w:r w:rsidDel="00000000" w:rsidR="00000000" w:rsidRPr="00000000">
        <w:rPr>
          <w:rtl w:val="0"/>
        </w:rPr>
        <w:t xml:space="preserve">8. Remissions</w:t>
      </w:r>
    </w:p>
    <w:p w:rsidR="00000000" w:rsidDel="00000000" w:rsidP="00000000" w:rsidRDefault="00000000" w:rsidRPr="00000000" w14:paraId="00000081">
      <w:pPr>
        <w:jc w:val="both"/>
        <w:rPr/>
      </w:pPr>
      <w:r w:rsidDel="00000000" w:rsidR="00000000" w:rsidRPr="00000000">
        <w:rPr>
          <w:rtl w:val="0"/>
        </w:rPr>
        <w:t xml:space="preserve">In some circumstances the college may not charge for items or activities set out in sections 5 of this policy. This will be at the discretion of the Board and will depend on the activity in question.</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The Director of Support Services monitors charges and remissions, and ensures these comply with this policy. </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tbl>
      <w:tblPr>
        <w:tblStyle w:val="Table1"/>
        <w:tblW w:w="86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24"/>
        <w:tblGridChange w:id="0">
          <w:tblGrid>
            <w:gridCol w:w="862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tabs>
                <w:tab w:val="left" w:leader="none" w:pos="2376"/>
              </w:tabs>
              <w:spacing w:after="200" w:line="276" w:lineRule="auto"/>
              <w:rPr>
                <w:b w:val="1"/>
                <w:sz w:val="24"/>
                <w:szCs w:val="24"/>
              </w:rPr>
            </w:pPr>
            <w:bookmarkStart w:colFirst="0" w:colLast="0" w:name="_heading=h.1t3h5sf" w:id="7"/>
            <w:bookmarkEnd w:id="7"/>
            <w:r w:rsidDel="00000000" w:rsidR="00000000" w:rsidRPr="00000000">
              <w:rPr>
                <w:b w:val="1"/>
                <w:sz w:val="24"/>
                <w:szCs w:val="24"/>
                <w:rtl w:val="0"/>
              </w:rPr>
              <w:t xml:space="preserve">Date accepted by Trustees: 02/02/2023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tabs>
                <w:tab w:val="left" w:leader="none" w:pos="2376"/>
              </w:tabs>
              <w:spacing w:after="200" w:line="276" w:lineRule="auto"/>
              <w:rPr>
                <w:b w:val="1"/>
                <w:sz w:val="24"/>
                <w:szCs w:val="24"/>
              </w:rPr>
            </w:pPr>
            <w:r w:rsidDel="00000000" w:rsidR="00000000" w:rsidRPr="00000000">
              <w:rPr>
                <w:b w:val="1"/>
                <w:sz w:val="24"/>
                <w:szCs w:val="24"/>
                <w:rtl w:val="0"/>
              </w:rPr>
              <w:t xml:space="preserve">Signed:</w:t>
            </w:r>
          </w:p>
          <w:p w:rsidR="00000000" w:rsidDel="00000000" w:rsidP="00000000" w:rsidRDefault="00000000" w:rsidRPr="00000000" w14:paraId="00000088">
            <w:pPr>
              <w:tabs>
                <w:tab w:val="left" w:leader="none" w:pos="2376"/>
              </w:tabs>
              <w:spacing w:after="200" w:line="276" w:lineRule="auto"/>
              <w:rPr>
                <w:b w:val="1"/>
                <w:sz w:val="24"/>
                <w:szCs w:val="24"/>
              </w:rPr>
            </w:pPr>
            <w:bookmarkStart w:colFirst="0" w:colLast="0" w:name="_heading=h.2s8eyo1" w:id="8"/>
            <w:bookmarkEnd w:id="8"/>
            <w:r w:rsidDel="00000000" w:rsidR="00000000" w:rsidRPr="00000000">
              <w:rPr>
                <w:sz w:val="24"/>
                <w:szCs w:val="24"/>
                <w:rtl w:val="0"/>
              </w:rPr>
              <w:t xml:space="preserve">         </w:t>
            </w:r>
            <w:r w:rsidDel="00000000" w:rsidR="00000000" w:rsidRPr="00000000">
              <w:rPr>
                <w:sz w:val="24"/>
                <w:szCs w:val="24"/>
              </w:rPr>
              <w:drawing>
                <wp:inline distB="0" distT="0" distL="0" distR="0">
                  <wp:extent cx="1085215" cy="42037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85215" cy="420370"/>
                          </a:xfrm>
                          <a:prstGeom prst="rect"/>
                          <a:ln/>
                        </pic:spPr>
                      </pic:pic>
                    </a:graphicData>
                  </a:graphic>
                </wp:inline>
              </w:drawing>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tabs>
                <w:tab w:val="left" w:leader="none" w:pos="2376"/>
              </w:tabs>
              <w:spacing w:after="200" w:line="276" w:lineRule="auto"/>
              <w:rPr>
                <w:b w:val="1"/>
                <w:sz w:val="24"/>
                <w:szCs w:val="24"/>
              </w:rPr>
            </w:pPr>
            <w:r w:rsidDel="00000000" w:rsidR="00000000" w:rsidRPr="00000000">
              <w:rPr>
                <w:b w:val="1"/>
                <w:sz w:val="24"/>
                <w:szCs w:val="24"/>
                <w:rtl w:val="0"/>
              </w:rPr>
              <w:t xml:space="preserve">Caroline Lane – Chair of the Board of Trustees</w:t>
              <w:tab/>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tabs>
                <w:tab w:val="left" w:leader="none" w:pos="2376"/>
              </w:tabs>
              <w:spacing w:after="200" w:line="276" w:lineRule="auto"/>
              <w:rPr>
                <w:b w:val="1"/>
                <w:sz w:val="24"/>
                <w:szCs w:val="24"/>
              </w:rPr>
            </w:pPr>
            <w:r w:rsidDel="00000000" w:rsidR="00000000" w:rsidRPr="00000000">
              <w:rPr>
                <w:b w:val="1"/>
                <w:sz w:val="24"/>
                <w:szCs w:val="24"/>
                <w:rtl w:val="0"/>
              </w:rPr>
              <w:t xml:space="preserve">Date for Review:    February 2025                                                                                                                   </w:t>
            </w:r>
          </w:p>
        </w:tc>
      </w:tr>
    </w:tbl>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r>
    </w:p>
    <w:sectPr>
      <w:footerReference r:id="rId9" w:type="default"/>
      <w:footerReference r:id="rId10" w:type="first"/>
      <w:pgSz w:h="16838" w:w="11906" w:orient="portrait"/>
      <w:pgMar w:bottom="1440" w:top="1440"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bookmarkStart w:colFirst="0" w:colLast="0" w:name="_heading=h.4d34og8" w:id="9"/>
    <w:bookmarkEnd w:id="9"/>
    <w:r w:rsidDel="00000000" w:rsidR="00000000" w:rsidRPr="00000000">
      <w:rPr>
        <w:color w:val="000000"/>
        <w:rtl w:val="0"/>
      </w:rPr>
      <w:t xml:space="preserve">PMcK – </w:t>
    </w:r>
    <w:r w:rsidDel="00000000" w:rsidR="00000000" w:rsidRPr="00000000">
      <w:rPr>
        <w:rtl w:val="0"/>
      </w:rPr>
      <w:t xml:space="preserve">Feb </w:t>
    </w:r>
    <w:r w:rsidDel="00000000" w:rsidR="00000000" w:rsidRPr="00000000">
      <w:rPr>
        <w:color w:val="000000"/>
        <w:rtl w:val="0"/>
      </w:rPr>
      <w:t xml:space="preserve">202</w:t>
    </w:r>
    <w:r w:rsidDel="00000000" w:rsidR="00000000" w:rsidRPr="00000000">
      <w:rPr>
        <w:rtl w:val="0"/>
      </w:rPr>
      <w:t xml:space="preserve">3</w:t>
    </w:r>
    <w:r w:rsidDel="00000000" w:rsidR="00000000" w:rsidRPr="00000000">
      <w:rPr>
        <w:color w:val="000000"/>
        <w:rtl w:val="0"/>
      </w:rPr>
      <w:tab/>
      <w:t xml:space="preserve">Policy Status: No Change</w:t>
      <w:tab/>
    </w:r>
    <w:r w:rsidDel="00000000" w:rsidR="00000000" w:rsidRPr="00000000">
      <w:rPr>
        <w:rtl w:val="0"/>
      </w:rPr>
      <w:t xml:space="preserve">Page </w:t>
    </w:r>
    <w:r w:rsidDel="00000000" w:rsidR="00000000" w:rsidRPr="00000000">
      <w:rPr>
        <w:b w:val="1"/>
        <w:sz w:val="24"/>
        <w:szCs w:val="24"/>
        <w:rtl w:val="0"/>
      </w:rPr>
      <w:t xml:space="preserve">1</w:t>
    </w:r>
    <w:r w:rsidDel="00000000" w:rsidR="00000000" w:rsidRPr="00000000">
      <w:rPr>
        <w:rtl w:val="0"/>
      </w:rPr>
      <w:t xml:space="preserve"> of </w:t>
    </w:r>
    <w:r w:rsidDel="00000000" w:rsidR="00000000" w:rsidRPr="00000000">
      <w:rPr>
        <w:b w:val="1"/>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PMcK – February 2023</w:t>
      <w:tab/>
      <w:t xml:space="preserve">Status: No Change</w:t>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4"/>
        <w:szCs w:val="24"/>
      </w:rPr>
    </w:lvl>
    <w:lvl w:ilvl="1">
      <w:start w:val="0"/>
      <w:numFmt w:val="bullet"/>
      <w:lvlText w:val="•"/>
      <w:lvlJc w:val="left"/>
      <w:pPr>
        <w:ind w:left="1980" w:hanging="540"/>
      </w:pPr>
      <w:rPr>
        <w:rFonts w:ascii="Arial" w:cs="Arial" w:eastAsia="Arial" w:hAnsi="Arial"/>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644" w:hanging="358.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jc w:val="both"/>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953980"/>
    <w:rPr>
      <w:rFonts w:cs="Times New Roman" w:eastAsia="MS Mincho"/>
      <w:szCs w:val="24"/>
    </w:rPr>
  </w:style>
  <w:style w:type="paragraph" w:styleId="Heading1">
    <w:name w:val="heading 1"/>
    <w:basedOn w:val="Normal"/>
    <w:next w:val="Normal"/>
    <w:link w:val="Heading1Char"/>
    <w:uiPriority w:val="9"/>
    <w:qFormat w:val="1"/>
    <w:rsid w:val="00172E68"/>
    <w:pPr>
      <w:keepNext w:val="1"/>
      <w:keepLines w:val="1"/>
      <w:spacing w:before="480"/>
      <w:jc w:val="both"/>
      <w:outlineLvl w:val="0"/>
    </w:pPr>
    <w:rPr>
      <w:rFonts w:eastAsia="MS Gothic"/>
      <w:b w:val="1"/>
      <w:bCs w:val="1"/>
      <w:sz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953980"/>
    <w:pPr>
      <w:keepNext w:val="1"/>
      <w:keepLines w:val="1"/>
      <w:spacing w:after="0" w:before="40"/>
      <w:outlineLvl w:val="2"/>
    </w:pPr>
    <w:rPr>
      <w:rFonts w:asciiTheme="majorHAnsi" w:cstheme="majorBidi" w:eastAsiaTheme="majorEastAsia" w:hAnsiTheme="majorHAnsi"/>
      <w:color w:val="1f4d78" w:themeColor="accent1" w:themeShade="00007F"/>
      <w:sz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480"/>
    </w:pPr>
    <w:rPr>
      <w:b w:val="1"/>
      <w:sz w:val="72"/>
      <w:szCs w:val="72"/>
    </w:rPr>
  </w:style>
  <w:style w:type="character" w:styleId="Heading1Char" w:customStyle="1">
    <w:name w:val="Heading 1 Char"/>
    <w:basedOn w:val="DefaultParagraphFont"/>
    <w:link w:val="Heading1"/>
    <w:uiPriority w:val="9"/>
    <w:rsid w:val="00172E68"/>
    <w:rPr>
      <w:rFonts w:ascii="Arial" w:cs="Times New Roman" w:eastAsia="MS Gothic" w:hAnsi="Arial"/>
      <w:b w:val="1"/>
      <w:bCs w:val="1"/>
      <w:sz w:val="24"/>
      <w:szCs w:val="24"/>
      <w:lang w:val="en-US"/>
    </w:rPr>
  </w:style>
  <w:style w:type="paragraph" w:styleId="TOC1">
    <w:name w:val="toc 1"/>
    <w:basedOn w:val="Normal"/>
    <w:next w:val="Normal"/>
    <w:autoRedefine w:val="1"/>
    <w:uiPriority w:val="39"/>
    <w:unhideWhenUsed w:val="1"/>
    <w:qFormat w:val="1"/>
    <w:rsid w:val="00953980"/>
    <w:pPr>
      <w:tabs>
        <w:tab w:val="right" w:leader="dot" w:pos="9338"/>
      </w:tabs>
    </w:pPr>
    <w:rPr>
      <w:sz w:val="22"/>
    </w:rPr>
  </w:style>
  <w:style w:type="character" w:styleId="Hyperlink">
    <w:name w:val="Hyperlink"/>
    <w:uiPriority w:val="99"/>
    <w:unhideWhenUsed w:val="1"/>
    <w:qFormat w:val="1"/>
    <w:rsid w:val="00953980"/>
    <w:rPr>
      <w:rFonts w:ascii="Arial" w:hAnsi="Arial"/>
      <w:color w:val="0092cf"/>
      <w:sz w:val="20"/>
      <w:u w:val="single"/>
    </w:rPr>
  </w:style>
  <w:style w:type="paragraph" w:styleId="Caption1" w:customStyle="1">
    <w:name w:val="Caption 1"/>
    <w:basedOn w:val="Normal"/>
    <w:qFormat w:val="1"/>
    <w:rsid w:val="00953980"/>
    <w:rPr>
      <w:i w:val="1"/>
      <w:color w:val="f15f22"/>
    </w:rPr>
  </w:style>
  <w:style w:type="character" w:styleId="Heading3Char" w:customStyle="1">
    <w:name w:val="Heading 3 Char"/>
    <w:basedOn w:val="DefaultParagraphFont"/>
    <w:link w:val="Heading3"/>
    <w:uiPriority w:val="9"/>
    <w:semiHidden w:val="1"/>
    <w:rsid w:val="00953980"/>
    <w:rPr>
      <w:rFonts w:asciiTheme="majorHAnsi" w:cstheme="majorBidi" w:eastAsiaTheme="majorEastAsia" w:hAnsiTheme="majorHAnsi"/>
      <w:color w:val="1f4d78" w:themeColor="accent1" w:themeShade="00007F"/>
      <w:sz w:val="24"/>
      <w:szCs w:val="24"/>
      <w:lang w:val="en-US"/>
    </w:rPr>
  </w:style>
  <w:style w:type="paragraph" w:styleId="Header">
    <w:name w:val="header"/>
    <w:basedOn w:val="Normal"/>
    <w:link w:val="HeaderChar"/>
    <w:uiPriority w:val="99"/>
    <w:unhideWhenUsed w:val="1"/>
    <w:rsid w:val="00953980"/>
    <w:pPr>
      <w:tabs>
        <w:tab w:val="center" w:pos="4513"/>
        <w:tab w:val="right" w:pos="9026"/>
      </w:tabs>
      <w:spacing w:after="0" w:before="0"/>
    </w:pPr>
  </w:style>
  <w:style w:type="character" w:styleId="HeaderChar" w:customStyle="1">
    <w:name w:val="Header Char"/>
    <w:basedOn w:val="DefaultParagraphFont"/>
    <w:link w:val="Header"/>
    <w:uiPriority w:val="99"/>
    <w:rsid w:val="00953980"/>
    <w:rPr>
      <w:rFonts w:ascii="Arial" w:cs="Times New Roman" w:eastAsia="MS Mincho" w:hAnsi="Arial"/>
      <w:sz w:val="20"/>
      <w:szCs w:val="24"/>
      <w:lang w:val="en-US"/>
    </w:rPr>
  </w:style>
  <w:style w:type="paragraph" w:styleId="Footer">
    <w:name w:val="footer"/>
    <w:basedOn w:val="Normal"/>
    <w:link w:val="FooterChar"/>
    <w:uiPriority w:val="99"/>
    <w:unhideWhenUsed w:val="1"/>
    <w:rsid w:val="00953980"/>
    <w:pPr>
      <w:tabs>
        <w:tab w:val="center" w:pos="4513"/>
        <w:tab w:val="right" w:pos="9026"/>
      </w:tabs>
      <w:spacing w:after="0" w:before="0"/>
    </w:pPr>
  </w:style>
  <w:style w:type="character" w:styleId="FooterChar" w:customStyle="1">
    <w:name w:val="Footer Char"/>
    <w:basedOn w:val="DefaultParagraphFont"/>
    <w:link w:val="Footer"/>
    <w:uiPriority w:val="99"/>
    <w:rsid w:val="00953980"/>
    <w:rPr>
      <w:rFonts w:ascii="Arial" w:cs="Times New Roman" w:eastAsia="MS Mincho" w:hAnsi="Arial"/>
      <w:sz w:val="20"/>
      <w:szCs w:val="24"/>
      <w:lang w:val="en-US"/>
    </w:rPr>
  </w:style>
  <w:style w:type="paragraph" w:styleId="BalloonText">
    <w:name w:val="Balloon Text"/>
    <w:basedOn w:val="Normal"/>
    <w:link w:val="BalloonTextChar"/>
    <w:uiPriority w:val="99"/>
    <w:semiHidden w:val="1"/>
    <w:unhideWhenUsed w:val="1"/>
    <w:rsid w:val="00E737D6"/>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37D6"/>
    <w:rPr>
      <w:rFonts w:ascii="Segoe UI" w:cs="Segoe UI" w:eastAsia="MS Mincho" w:hAnsi="Segoe UI"/>
      <w:sz w:val="18"/>
      <w:szCs w:val="18"/>
      <w:lang w:val="en-US"/>
    </w:rPr>
  </w:style>
  <w:style w:type="paragraph" w:styleId="Default" w:customStyle="1">
    <w:name w:val="Default"/>
    <w:rsid w:val="00E737D6"/>
    <w:pPr>
      <w:autoSpaceDE w:val="0"/>
      <w:autoSpaceDN w:val="0"/>
      <w:adjustRightInd w:val="0"/>
      <w:spacing w:after="0"/>
    </w:pPr>
    <w:rPr>
      <w:rFonts w:ascii="Comic Sans MS" w:cs="Comic Sans MS" w:hAnsi="Comic Sans MS"/>
      <w:color w:val="000000"/>
      <w:sz w:val="24"/>
      <w:szCs w:val="24"/>
    </w:rPr>
  </w:style>
  <w:style w:type="paragraph" w:styleId="ListParagraph">
    <w:name w:val="List Paragraph"/>
    <w:basedOn w:val="Normal"/>
    <w:uiPriority w:val="34"/>
    <w:qFormat w:val="1"/>
    <w:rsid w:val="005B7E43"/>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Fa9pvvreu5ap6IUVEw7kS218VA==">CgMxLjAyCGguZ2pkZ3hzMgloLjMwajB6bGwyCWguMWZvYjl0ZTIJaC4zem55c2g3MgloLjJldDkycDAyCGgudHlqY3d0MgloLjNkeTZ2a20yCWguMXQzaDVzZjIJaC4yczhleW8xMgloLjRkMzRvZzg4AHIhMVdrcDgxRGgySkFWYWVwbFFDQ2wwV2VxT2NpQlVXbWJy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2023-02-03T09:10:00Z</dcterms:created>
  <dc:creator>Pauline Mckenna</dc:creator>
</cp:coreProperties>
</file>